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18" w:rsidRDefault="00771518" w:rsidP="0077151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8"/>
          <w:szCs w:val="38"/>
        </w:rPr>
      </w:pPr>
      <w:r>
        <w:rPr>
          <w:rFonts w:ascii="Helvetica-Bold" w:hAnsi="Helvetica-Bold" w:cs="Helvetica-Bold"/>
          <w:b/>
          <w:bCs/>
          <w:sz w:val="38"/>
          <w:szCs w:val="38"/>
        </w:rPr>
        <w:t>PREFECTURE DE LA HAUTE-LOIRE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767EE3" w:rsidRDefault="00767EE3" w:rsidP="0077151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ARRETE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3"/>
          <w:szCs w:val="23"/>
        </w:rPr>
      </w:pP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modifiant</w:t>
      </w:r>
      <w:proofErr w:type="gramEnd"/>
      <w:r>
        <w:rPr>
          <w:rFonts w:ascii="Helvetica" w:hAnsi="Helvetica" w:cs="Helvetica"/>
          <w:sz w:val="23"/>
          <w:szCs w:val="23"/>
        </w:rPr>
        <w:t xml:space="preserve"> l’article 3 de l’arrêté réglementaire permanent du 11 janvier 1962 fixant les zones de</w:t>
      </w:r>
      <w:r>
        <w:rPr>
          <w:rFonts w:ascii="Helvetica" w:hAnsi="Helvetica" w:cs="Helvetica"/>
          <w:sz w:val="23"/>
          <w:szCs w:val="23"/>
        </w:rPr>
        <w:t xml:space="preserve"> </w:t>
      </w:r>
      <w:r>
        <w:rPr>
          <w:rFonts w:ascii="Helvetica" w:hAnsi="Helvetica" w:cs="Helvetica"/>
          <w:sz w:val="23"/>
          <w:szCs w:val="23"/>
        </w:rPr>
        <w:t>protection autour des débits de boissons, en application de l’article L.49 du code des débits de</w:t>
      </w:r>
      <w:r>
        <w:rPr>
          <w:rFonts w:ascii="Helvetica" w:hAnsi="Helvetica" w:cs="Helvetica"/>
          <w:sz w:val="23"/>
          <w:szCs w:val="23"/>
        </w:rPr>
        <w:t xml:space="preserve"> </w:t>
      </w:r>
      <w:r>
        <w:rPr>
          <w:rFonts w:ascii="Helvetica" w:hAnsi="Helvetica" w:cs="Helvetica"/>
          <w:sz w:val="23"/>
          <w:szCs w:val="23"/>
        </w:rPr>
        <w:t>boissons et des mesures contre l’alcoolisme.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LE PREFET de la HAUTE-LOIRE,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Chevalier de la Légion d’Honneur,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Helvetica" w:hAnsi="Helvetica" w:cs="Helvetica"/>
          <w:sz w:val="23"/>
          <w:szCs w:val="23"/>
        </w:rPr>
      </w:pPr>
    </w:p>
    <w:p w:rsidR="00767EE3" w:rsidRDefault="00767EE3" w:rsidP="0077151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Helvetica" w:hAnsi="Helvetica" w:cs="Helvetica"/>
          <w:sz w:val="23"/>
          <w:szCs w:val="23"/>
        </w:rPr>
      </w:pP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VU </w:t>
      </w:r>
      <w:r>
        <w:rPr>
          <w:rFonts w:ascii="Helvetica" w:hAnsi="Helvetica" w:cs="Helvetica"/>
          <w:sz w:val="23"/>
          <w:szCs w:val="23"/>
        </w:rPr>
        <w:t>le code des débits de boissons et des mesures contre l’alcoolisme, et notamment son</w:t>
      </w:r>
      <w:r>
        <w:rPr>
          <w:rFonts w:ascii="Helvetica" w:hAnsi="Helvetica" w:cs="Helvetica"/>
          <w:sz w:val="23"/>
          <w:szCs w:val="23"/>
        </w:rPr>
        <w:t xml:space="preserve"> </w:t>
      </w:r>
      <w:r>
        <w:rPr>
          <w:rFonts w:ascii="Helvetica" w:hAnsi="Helvetica" w:cs="Helvetica"/>
          <w:sz w:val="23"/>
          <w:szCs w:val="23"/>
        </w:rPr>
        <w:t>article L.49 ;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VU </w:t>
      </w:r>
      <w:r>
        <w:rPr>
          <w:rFonts w:ascii="Helvetica" w:hAnsi="Helvetica" w:cs="Helvetica"/>
          <w:sz w:val="23"/>
          <w:szCs w:val="23"/>
        </w:rPr>
        <w:t>l’arrêté réglementaire permanent du 11 janvier 1962 fixant les zones de protection autour</w:t>
      </w:r>
      <w:r>
        <w:rPr>
          <w:rFonts w:ascii="Helvetica" w:hAnsi="Helvetica" w:cs="Helvetica"/>
          <w:sz w:val="23"/>
          <w:szCs w:val="23"/>
        </w:rPr>
        <w:t xml:space="preserve"> </w:t>
      </w:r>
      <w:r>
        <w:rPr>
          <w:rFonts w:ascii="Helvetica" w:hAnsi="Helvetica" w:cs="Helvetica"/>
          <w:sz w:val="23"/>
          <w:szCs w:val="23"/>
        </w:rPr>
        <w:t>des débits de boissons, en application de l’article L.49 du code susvisé ;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VU </w:t>
      </w:r>
      <w:r>
        <w:rPr>
          <w:rFonts w:ascii="Helvetica" w:hAnsi="Helvetica" w:cs="Helvetica"/>
          <w:sz w:val="23"/>
          <w:szCs w:val="23"/>
        </w:rPr>
        <w:t>les arrêtés préfectoraux réglementaires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ind w:firstLine="708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n</w:t>
      </w:r>
      <w:r>
        <w:rPr>
          <w:rFonts w:ascii="Helvetica" w:hAnsi="Helvetica" w:cs="Helvetica"/>
          <w:sz w:val="15"/>
          <w:szCs w:val="15"/>
        </w:rPr>
        <w:t xml:space="preserve">0 </w:t>
      </w:r>
      <w:r>
        <w:rPr>
          <w:rFonts w:ascii="Helvetica" w:hAnsi="Helvetica" w:cs="Helvetica"/>
          <w:sz w:val="23"/>
          <w:szCs w:val="23"/>
        </w:rPr>
        <w:t>1 D1-76-197 du 25 juin 1976 ;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ind w:firstLine="708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n</w:t>
      </w:r>
      <w:r>
        <w:rPr>
          <w:rFonts w:ascii="Helvetica" w:hAnsi="Helvetica" w:cs="Helvetica"/>
          <w:sz w:val="15"/>
          <w:szCs w:val="15"/>
        </w:rPr>
        <w:t xml:space="preserve">0 </w:t>
      </w:r>
      <w:r>
        <w:rPr>
          <w:rFonts w:ascii="Helvetica" w:hAnsi="Helvetica" w:cs="Helvetica"/>
          <w:sz w:val="23"/>
          <w:szCs w:val="23"/>
        </w:rPr>
        <w:t>1 D4-83-172 du 15 juin 1983 ;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ind w:firstLine="708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n</w:t>
      </w:r>
      <w:r>
        <w:rPr>
          <w:rFonts w:ascii="Helvetica" w:hAnsi="Helvetica" w:cs="Helvetica"/>
          <w:sz w:val="15"/>
          <w:szCs w:val="15"/>
        </w:rPr>
        <w:t xml:space="preserve">0 </w:t>
      </w:r>
      <w:r>
        <w:rPr>
          <w:rFonts w:ascii="Helvetica" w:hAnsi="Helvetica" w:cs="Helvetica"/>
          <w:sz w:val="23"/>
          <w:szCs w:val="23"/>
        </w:rPr>
        <w:t>1 D4-84-166 du 21 mai 1984 ;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ind w:firstLine="708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n</w:t>
      </w:r>
      <w:r>
        <w:rPr>
          <w:rFonts w:ascii="Helvetica" w:hAnsi="Helvetica" w:cs="Helvetica"/>
          <w:sz w:val="15"/>
          <w:szCs w:val="15"/>
        </w:rPr>
        <w:t xml:space="preserve">0 </w:t>
      </w:r>
      <w:r>
        <w:rPr>
          <w:rFonts w:ascii="Helvetica" w:hAnsi="Helvetica" w:cs="Helvetica"/>
          <w:sz w:val="23"/>
          <w:szCs w:val="23"/>
        </w:rPr>
        <w:t>1 D4-85-353 du 4 octobre 1985 ;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ind w:firstLine="708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n</w:t>
      </w:r>
      <w:r>
        <w:rPr>
          <w:rFonts w:ascii="Helvetica" w:hAnsi="Helvetica" w:cs="Helvetica"/>
          <w:sz w:val="15"/>
          <w:szCs w:val="15"/>
        </w:rPr>
        <w:t xml:space="preserve">0 </w:t>
      </w:r>
      <w:r>
        <w:rPr>
          <w:rFonts w:ascii="Helvetica" w:hAnsi="Helvetica" w:cs="Helvetica"/>
          <w:sz w:val="23"/>
          <w:szCs w:val="23"/>
        </w:rPr>
        <w:t>1 D4-85-410 bis du 6 décembre 1985,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ind w:firstLine="708"/>
        <w:rPr>
          <w:rFonts w:ascii="Helvetica" w:hAnsi="Helvetica" w:cs="Helvetica"/>
          <w:sz w:val="23"/>
          <w:szCs w:val="23"/>
        </w:rPr>
      </w:pP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tous</w:t>
      </w:r>
      <w:proofErr w:type="gramEnd"/>
      <w:r>
        <w:rPr>
          <w:rFonts w:ascii="Helvetica" w:hAnsi="Helvetica" w:cs="Helvetica"/>
          <w:sz w:val="23"/>
          <w:szCs w:val="23"/>
        </w:rPr>
        <w:t xml:space="preserve"> modifiant l’article 3 de l’arrêté réglementaire permanent du 11 janvier 1962 déjà visé ;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VU </w:t>
      </w:r>
      <w:r>
        <w:rPr>
          <w:rFonts w:ascii="Helvetica" w:hAnsi="Helvetica" w:cs="Helvetica"/>
          <w:sz w:val="23"/>
          <w:szCs w:val="23"/>
        </w:rPr>
        <w:t>l’arrêté préfectoral du 18 mars 1971 interdisant toute création ou tout transfert de débits de</w:t>
      </w:r>
      <w:r>
        <w:rPr>
          <w:rFonts w:ascii="Helvetica" w:hAnsi="Helvetica" w:cs="Helvetica"/>
          <w:sz w:val="23"/>
          <w:szCs w:val="23"/>
        </w:rPr>
        <w:t xml:space="preserve"> </w:t>
      </w:r>
      <w:r>
        <w:rPr>
          <w:rFonts w:ascii="Helvetica" w:hAnsi="Helvetica" w:cs="Helvetica"/>
          <w:sz w:val="23"/>
          <w:szCs w:val="23"/>
        </w:rPr>
        <w:t>boissons à consommer sur place, de 2ème, 3ème et 4ème catégories, à moins de 400 mètres</w:t>
      </w:r>
      <w:r>
        <w:rPr>
          <w:rFonts w:ascii="Helvetica" w:hAnsi="Helvetica" w:cs="Helvetica"/>
          <w:sz w:val="23"/>
          <w:szCs w:val="23"/>
        </w:rPr>
        <w:t xml:space="preserve"> </w:t>
      </w:r>
      <w:r>
        <w:rPr>
          <w:rFonts w:ascii="Helvetica" w:hAnsi="Helvetica" w:cs="Helvetica"/>
          <w:sz w:val="23"/>
          <w:szCs w:val="23"/>
        </w:rPr>
        <w:t>des établissements industriels ou commerciaux groupant habituellement plus de 1000 salariés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VU </w:t>
      </w:r>
      <w:r>
        <w:rPr>
          <w:rFonts w:ascii="Helvetica" w:hAnsi="Helvetica" w:cs="Helvetica"/>
          <w:sz w:val="23"/>
          <w:szCs w:val="23"/>
        </w:rPr>
        <w:t>l’arrêté préfectoral n</w:t>
      </w:r>
      <w:r>
        <w:rPr>
          <w:rFonts w:ascii="Helvetica" w:hAnsi="Helvetica" w:cs="Helvetica"/>
          <w:sz w:val="15"/>
          <w:szCs w:val="15"/>
        </w:rPr>
        <w:t xml:space="preserve">0 </w:t>
      </w:r>
      <w:r>
        <w:rPr>
          <w:rFonts w:ascii="Helvetica" w:hAnsi="Helvetica" w:cs="Helvetica"/>
          <w:sz w:val="23"/>
          <w:szCs w:val="23"/>
        </w:rPr>
        <w:t>1 D1-89-146 du 21 novembre 1989 fixant la liste des établissements</w:t>
      </w:r>
      <w:r>
        <w:rPr>
          <w:rFonts w:ascii="Helvetica" w:hAnsi="Helvetica" w:cs="Helvetica"/>
          <w:sz w:val="23"/>
          <w:szCs w:val="23"/>
        </w:rPr>
        <w:t xml:space="preserve"> </w:t>
      </w:r>
      <w:r>
        <w:rPr>
          <w:rFonts w:ascii="Helvetica" w:hAnsi="Helvetica" w:cs="Helvetica"/>
          <w:sz w:val="23"/>
          <w:szCs w:val="23"/>
        </w:rPr>
        <w:t>de santé autour desquels est créée une zone de protection ;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CONSIDERANT </w:t>
      </w:r>
      <w:r>
        <w:rPr>
          <w:rFonts w:ascii="Helvetica" w:hAnsi="Helvetica" w:cs="Helvetica"/>
          <w:sz w:val="23"/>
          <w:szCs w:val="23"/>
        </w:rPr>
        <w:t>que les distances, en deçà desquelles les débits de boissons à consommer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sur</w:t>
      </w:r>
      <w:proofErr w:type="gramEnd"/>
      <w:r>
        <w:rPr>
          <w:rFonts w:ascii="Helvetica" w:hAnsi="Helvetica" w:cs="Helvetica"/>
          <w:sz w:val="23"/>
          <w:szCs w:val="23"/>
        </w:rPr>
        <w:t xml:space="preserve"> place ne peuvent être établis autour des édifices et établissements énumérés à l’article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L.49 du code des débits de boissons, avaient été déterminées, jusqu’au recensement général</w:t>
      </w:r>
      <w:r>
        <w:rPr>
          <w:rFonts w:ascii="Helvetica" w:hAnsi="Helvetica" w:cs="Helvetica"/>
          <w:sz w:val="23"/>
          <w:szCs w:val="23"/>
        </w:rPr>
        <w:t xml:space="preserve"> </w:t>
      </w:r>
      <w:r>
        <w:rPr>
          <w:rFonts w:ascii="Helvetica" w:hAnsi="Helvetica" w:cs="Helvetica"/>
          <w:sz w:val="23"/>
          <w:szCs w:val="23"/>
        </w:rPr>
        <w:t>de la population de 1990, en fonction du nombre d’habitants agglomérés au chef-lieu ;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CONSIDERANT </w:t>
      </w:r>
      <w:r>
        <w:rPr>
          <w:rFonts w:ascii="Helvetica" w:hAnsi="Helvetica" w:cs="Helvetica"/>
          <w:sz w:val="23"/>
          <w:szCs w:val="23"/>
        </w:rPr>
        <w:t>que le recensement de 1990, effectué, par l’Institut National de la Statistique</w:t>
      </w:r>
    </w:p>
    <w:p w:rsidR="00EC1BBA" w:rsidRDefault="00771518" w:rsidP="00771518">
      <w:pPr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et</w:t>
      </w:r>
      <w:proofErr w:type="gramEnd"/>
      <w:r>
        <w:rPr>
          <w:rFonts w:ascii="Helvetica" w:hAnsi="Helvetica" w:cs="Helvetica"/>
          <w:sz w:val="23"/>
          <w:szCs w:val="23"/>
        </w:rPr>
        <w:t xml:space="preserve"> des Etudes Economiques, ne fait plus mention du nombre d’habitants agglomérés au chef</w:t>
      </w:r>
      <w:r w:rsidR="00767EE3">
        <w:rPr>
          <w:rFonts w:ascii="Helvetica" w:hAnsi="Helvetica" w:cs="Helvetica"/>
          <w:sz w:val="23"/>
          <w:szCs w:val="23"/>
        </w:rPr>
        <w:t>-</w:t>
      </w:r>
      <w:r>
        <w:rPr>
          <w:rFonts w:ascii="Helvetica" w:hAnsi="Helvetica" w:cs="Helvetica"/>
          <w:sz w:val="23"/>
          <w:szCs w:val="23"/>
        </w:rPr>
        <w:t>lieu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CONSIDERANT </w:t>
      </w:r>
      <w:r>
        <w:rPr>
          <w:rFonts w:ascii="Helvetica" w:hAnsi="Helvetica" w:cs="Helvetica"/>
          <w:sz w:val="23"/>
          <w:szCs w:val="23"/>
        </w:rPr>
        <w:t>qu’il y a lieu, en conséquence, de déterminer ces distances en fonction d’un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nouveau</w:t>
      </w:r>
      <w:proofErr w:type="gramEnd"/>
      <w:r>
        <w:rPr>
          <w:rFonts w:ascii="Helvetica" w:hAnsi="Helvetica" w:cs="Helvetica"/>
          <w:sz w:val="23"/>
          <w:szCs w:val="23"/>
        </w:rPr>
        <w:t xml:space="preserve"> critère ;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VU </w:t>
      </w:r>
      <w:r>
        <w:rPr>
          <w:rFonts w:ascii="Helvetica" w:hAnsi="Helvetica" w:cs="Helvetica"/>
          <w:sz w:val="23"/>
          <w:szCs w:val="23"/>
        </w:rPr>
        <w:t>l’avis du groupe de travail institué à cet effet et réuni le 2 juillet 1991 ;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SUR </w:t>
      </w:r>
      <w:r>
        <w:rPr>
          <w:rFonts w:ascii="Helvetica" w:hAnsi="Helvetica" w:cs="Helvetica"/>
          <w:sz w:val="23"/>
          <w:szCs w:val="23"/>
        </w:rPr>
        <w:t>proposition du Sous-préfet, Secrétaire Général de la Préfecture de la Haute-Loire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lastRenderedPageBreak/>
        <w:t>ARRETE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 w:rsidRPr="00771518">
        <w:rPr>
          <w:rFonts w:ascii="Helvetica-Bold" w:hAnsi="Helvetica-Bold" w:cs="Helvetica-Bold"/>
          <w:b/>
          <w:bCs/>
          <w:sz w:val="23"/>
          <w:szCs w:val="23"/>
          <w:u w:val="single"/>
        </w:rPr>
        <w:t>Article 1er</w:t>
      </w:r>
      <w:r>
        <w:rPr>
          <w:rFonts w:ascii="Helvetica-Bold" w:hAnsi="Helvetica-Bold" w:cs="Helvetica-Bold"/>
          <w:b/>
          <w:bCs/>
          <w:sz w:val="23"/>
          <w:szCs w:val="23"/>
        </w:rPr>
        <w:t xml:space="preserve"> - </w:t>
      </w:r>
      <w:r>
        <w:rPr>
          <w:rFonts w:ascii="Helvetica" w:hAnsi="Helvetica" w:cs="Helvetica"/>
          <w:sz w:val="23"/>
          <w:szCs w:val="23"/>
        </w:rPr>
        <w:t>L’article 3 de l’arrêté réglementaire permanent du 11 janvier 1962, relatif à la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détermination</w:t>
      </w:r>
      <w:proofErr w:type="gramEnd"/>
      <w:r>
        <w:rPr>
          <w:rFonts w:ascii="Helvetica" w:hAnsi="Helvetica" w:cs="Helvetica"/>
          <w:sz w:val="23"/>
          <w:szCs w:val="23"/>
        </w:rPr>
        <w:t xml:space="preserve"> des zones de protection autour des débits de boissons, en application de l’article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L.49 du code des débits de boissons et des mesures contre l’alcoolisme, est abrogé et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remplacé</w:t>
      </w:r>
      <w:proofErr w:type="gramEnd"/>
      <w:r>
        <w:rPr>
          <w:rFonts w:ascii="Helvetica" w:hAnsi="Helvetica" w:cs="Helvetica"/>
          <w:sz w:val="23"/>
          <w:szCs w:val="23"/>
        </w:rPr>
        <w:t xml:space="preserve"> par les dispositions suivantes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“La distance qui doit séparer les débits de boissons des établissements énumérés à l’article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L.49 du code des débits de boissons susvisé, est fixée ainsi qu’il suit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- </w:t>
      </w:r>
      <w:r>
        <w:rPr>
          <w:rFonts w:ascii="Helvetica" w:hAnsi="Helvetica" w:cs="Helvetica"/>
          <w:sz w:val="23"/>
          <w:szCs w:val="23"/>
        </w:rPr>
        <w:t>Communes dont la population municipale est inférieure ou égale à 200 habitants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10 mètres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- Communes dont la population municipale est comprise entre 201 et 2000 habitants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40 mètres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- Communes dont la population municipale est comprise entre 2001 et 4000 habitants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60 mètres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- Communes dont la population municipale est comprise entre 4001 et 10.000 habitants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100 mètres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- Communes dont la population municipale est supérieure à 10.000 habitants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120 mètres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 w:rsidRPr="00771518">
        <w:rPr>
          <w:rFonts w:ascii="Helvetica-Bold" w:hAnsi="Helvetica-Bold" w:cs="Helvetica-Bold"/>
          <w:b/>
          <w:bCs/>
          <w:sz w:val="23"/>
          <w:szCs w:val="23"/>
          <w:u w:val="single"/>
        </w:rPr>
        <w:t>Article 2</w:t>
      </w:r>
      <w:r>
        <w:rPr>
          <w:rFonts w:ascii="Helvetica-Bold" w:hAnsi="Helvetica-Bold" w:cs="Helvetica-Bold"/>
          <w:b/>
          <w:bCs/>
          <w:sz w:val="23"/>
          <w:szCs w:val="23"/>
        </w:rPr>
        <w:t xml:space="preserve"> - </w:t>
      </w:r>
      <w:r>
        <w:rPr>
          <w:rFonts w:ascii="Helvetica" w:hAnsi="Helvetica" w:cs="Helvetica"/>
          <w:sz w:val="23"/>
          <w:szCs w:val="23"/>
        </w:rPr>
        <w:t>Les arrêtés préfectoraux réglementaires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ind w:firstLine="708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n</w:t>
      </w:r>
      <w:r>
        <w:rPr>
          <w:rFonts w:ascii="Helvetica" w:hAnsi="Helvetica" w:cs="Helvetica"/>
          <w:sz w:val="15"/>
          <w:szCs w:val="15"/>
        </w:rPr>
        <w:t xml:space="preserve">0 </w:t>
      </w:r>
      <w:r>
        <w:rPr>
          <w:rFonts w:ascii="Helvetica" w:hAnsi="Helvetica" w:cs="Helvetica"/>
          <w:sz w:val="23"/>
          <w:szCs w:val="23"/>
        </w:rPr>
        <w:t>1 D1-76-197 du 25 juin 1976 ;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ind w:firstLine="708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n</w:t>
      </w:r>
      <w:r>
        <w:rPr>
          <w:rFonts w:ascii="Helvetica" w:hAnsi="Helvetica" w:cs="Helvetica"/>
          <w:sz w:val="15"/>
          <w:szCs w:val="15"/>
        </w:rPr>
        <w:t xml:space="preserve">0 </w:t>
      </w:r>
      <w:r>
        <w:rPr>
          <w:rFonts w:ascii="Helvetica" w:hAnsi="Helvetica" w:cs="Helvetica"/>
          <w:sz w:val="23"/>
          <w:szCs w:val="23"/>
        </w:rPr>
        <w:t>1 D4-83-172 du 15 juin 1983 ;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ind w:firstLine="708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n</w:t>
      </w:r>
      <w:r>
        <w:rPr>
          <w:rFonts w:ascii="Helvetica" w:hAnsi="Helvetica" w:cs="Helvetica"/>
          <w:sz w:val="15"/>
          <w:szCs w:val="15"/>
        </w:rPr>
        <w:t xml:space="preserve">0 </w:t>
      </w:r>
      <w:r>
        <w:rPr>
          <w:rFonts w:ascii="Helvetica" w:hAnsi="Helvetica" w:cs="Helvetica"/>
          <w:sz w:val="23"/>
          <w:szCs w:val="23"/>
        </w:rPr>
        <w:t>1 D4-84-166 du 21 mai 1984 ;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ind w:firstLine="708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n</w:t>
      </w:r>
      <w:r>
        <w:rPr>
          <w:rFonts w:ascii="Helvetica" w:hAnsi="Helvetica" w:cs="Helvetica"/>
          <w:sz w:val="15"/>
          <w:szCs w:val="15"/>
        </w:rPr>
        <w:t xml:space="preserve">0 </w:t>
      </w:r>
      <w:r>
        <w:rPr>
          <w:rFonts w:ascii="Helvetica" w:hAnsi="Helvetica" w:cs="Helvetica"/>
          <w:sz w:val="23"/>
          <w:szCs w:val="23"/>
        </w:rPr>
        <w:t>1 D4-85-353 du 4 octobre 1985 ;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ind w:firstLine="708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n</w:t>
      </w:r>
      <w:r>
        <w:rPr>
          <w:rFonts w:ascii="Helvetica" w:hAnsi="Helvetica" w:cs="Helvetica"/>
          <w:sz w:val="15"/>
          <w:szCs w:val="15"/>
        </w:rPr>
        <w:t xml:space="preserve">0 </w:t>
      </w:r>
      <w:r>
        <w:rPr>
          <w:rFonts w:ascii="Helvetica" w:hAnsi="Helvetica" w:cs="Helvetica"/>
          <w:sz w:val="23"/>
          <w:szCs w:val="23"/>
        </w:rPr>
        <w:t>1 D4-85-410 bis du 6 décembre 1985,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sont</w:t>
      </w:r>
      <w:proofErr w:type="gramEnd"/>
      <w:r>
        <w:rPr>
          <w:rFonts w:ascii="Helvetica" w:hAnsi="Helvetica" w:cs="Helvetica"/>
          <w:sz w:val="23"/>
          <w:szCs w:val="23"/>
        </w:rPr>
        <w:t xml:space="preserve"> abrogés.</w:t>
      </w:r>
    </w:p>
    <w:p w:rsidR="00771518" w:rsidRDefault="00771518" w:rsidP="00771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771518" w:rsidRDefault="00771518" w:rsidP="00771518">
      <w:pPr>
        <w:rPr>
          <w:rFonts w:ascii="Helvetica" w:hAnsi="Helvetica" w:cs="Helvetica"/>
          <w:sz w:val="23"/>
          <w:szCs w:val="23"/>
        </w:rPr>
      </w:pPr>
      <w:r w:rsidRPr="00771518">
        <w:rPr>
          <w:rFonts w:ascii="Helvetica-Bold" w:hAnsi="Helvetica-Bold" w:cs="Helvetica-Bold"/>
          <w:b/>
          <w:bCs/>
          <w:sz w:val="23"/>
          <w:szCs w:val="23"/>
          <w:u w:val="single"/>
        </w:rPr>
        <w:t>Article 3</w:t>
      </w:r>
      <w:r>
        <w:rPr>
          <w:rFonts w:ascii="Helvetica-Bold" w:hAnsi="Helvetica-Bold" w:cs="Helvetica-Bold"/>
          <w:b/>
          <w:bCs/>
          <w:sz w:val="23"/>
          <w:szCs w:val="23"/>
        </w:rPr>
        <w:t xml:space="preserve"> - </w:t>
      </w:r>
      <w:r>
        <w:rPr>
          <w:rFonts w:ascii="Helvetica" w:hAnsi="Helvetica" w:cs="Helvetica"/>
          <w:sz w:val="23"/>
          <w:szCs w:val="23"/>
        </w:rPr>
        <w:t>Demeurent en vigueur et sans modification, les arrêtés préfectoraux du 18 mars</w:t>
      </w:r>
    </w:p>
    <w:p w:rsidR="00767EE3" w:rsidRDefault="00767EE3" w:rsidP="00767E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1971 et n° 1D1-89-146 du 21 novembre 1989 susvisés, fixant des zones de protection</w:t>
      </w:r>
    </w:p>
    <w:p w:rsidR="00767EE3" w:rsidRDefault="00767EE3" w:rsidP="00767E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spéciales</w:t>
      </w:r>
      <w:proofErr w:type="gramEnd"/>
      <w:r>
        <w:rPr>
          <w:rFonts w:ascii="Helvetica" w:hAnsi="Helvetica" w:cs="Helvetica"/>
          <w:sz w:val="23"/>
          <w:szCs w:val="23"/>
        </w:rPr>
        <w:t xml:space="preserve"> respectivement pour certains établissements industriels et commerciaux et les</w:t>
      </w:r>
    </w:p>
    <w:p w:rsidR="00767EE3" w:rsidRDefault="00767EE3" w:rsidP="00767E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diverses</w:t>
      </w:r>
      <w:proofErr w:type="gramEnd"/>
      <w:r>
        <w:rPr>
          <w:rFonts w:ascii="Helvetica" w:hAnsi="Helvetica" w:cs="Helvetica"/>
          <w:sz w:val="23"/>
          <w:szCs w:val="23"/>
        </w:rPr>
        <w:t xml:space="preserve"> catégories d’établissements relevant du code de la santé publique.</w:t>
      </w:r>
    </w:p>
    <w:p w:rsidR="00767EE3" w:rsidRDefault="00767EE3" w:rsidP="00767E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767EE3" w:rsidRDefault="00767EE3" w:rsidP="00767E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 w:rsidRPr="00767EE3">
        <w:rPr>
          <w:rFonts w:ascii="Helvetica-Bold" w:hAnsi="Helvetica-Bold" w:cs="Helvetica-Bold"/>
          <w:b/>
          <w:bCs/>
          <w:sz w:val="23"/>
          <w:szCs w:val="23"/>
          <w:u w:val="single"/>
        </w:rPr>
        <w:t>Article 4</w:t>
      </w:r>
      <w:r>
        <w:rPr>
          <w:rFonts w:ascii="Helvetica-Bold" w:hAnsi="Helvetica-Bold" w:cs="Helvetica-Bold"/>
          <w:b/>
          <w:bCs/>
          <w:sz w:val="23"/>
          <w:szCs w:val="23"/>
        </w:rPr>
        <w:t xml:space="preserve"> - </w:t>
      </w:r>
      <w:r>
        <w:rPr>
          <w:rFonts w:ascii="Helvetica" w:hAnsi="Helvetica" w:cs="Helvetica"/>
          <w:sz w:val="23"/>
          <w:szCs w:val="23"/>
        </w:rPr>
        <w:t>Le Sous-préfet, Secrétaire Général de la Préfecture de la Haute-Loire, les Sous</w:t>
      </w:r>
      <w:r>
        <w:rPr>
          <w:rFonts w:ascii="Helvetica" w:hAnsi="Helvetica" w:cs="Helvetica"/>
          <w:sz w:val="23"/>
          <w:szCs w:val="23"/>
        </w:rPr>
        <w:t>-</w:t>
      </w:r>
      <w:r>
        <w:rPr>
          <w:rFonts w:ascii="Helvetica" w:hAnsi="Helvetica" w:cs="Helvetica"/>
          <w:sz w:val="23"/>
          <w:szCs w:val="23"/>
        </w:rPr>
        <w:t>préfets</w:t>
      </w:r>
    </w:p>
    <w:p w:rsidR="00767EE3" w:rsidRDefault="00767EE3" w:rsidP="00767E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de</w:t>
      </w:r>
      <w:proofErr w:type="gramEnd"/>
      <w:r>
        <w:rPr>
          <w:rFonts w:ascii="Helvetica" w:hAnsi="Helvetica" w:cs="Helvetica"/>
          <w:sz w:val="23"/>
          <w:szCs w:val="23"/>
        </w:rPr>
        <w:t xml:space="preserve"> BRIOUDE et d’YSSINGEAUX, les Maires du département, le Directeur</w:t>
      </w:r>
    </w:p>
    <w:p w:rsidR="00767EE3" w:rsidRDefault="00767EE3" w:rsidP="00767E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Départemental des Services Fiscaux, le Lieutenant-colonel, Commandant le Groupement de</w:t>
      </w:r>
    </w:p>
    <w:p w:rsidR="00767EE3" w:rsidRDefault="00767EE3" w:rsidP="00767E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Gendarmerie de la Haute-Loire, le Commissaire Principal, Directeur Départemental des</w:t>
      </w:r>
    </w:p>
    <w:p w:rsidR="00767EE3" w:rsidRDefault="00767EE3" w:rsidP="00767E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Polices Urbaines, sont chargés, chacun en ce qui le concerne, de l’exécution du présent arrêté</w:t>
      </w:r>
    </w:p>
    <w:p w:rsidR="00767EE3" w:rsidRDefault="00767EE3" w:rsidP="00767E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qui</w:t>
      </w:r>
      <w:proofErr w:type="gramEnd"/>
      <w:r>
        <w:rPr>
          <w:rFonts w:ascii="Helvetica" w:hAnsi="Helvetica" w:cs="Helvetica"/>
          <w:sz w:val="23"/>
          <w:szCs w:val="23"/>
        </w:rPr>
        <w:t>, en outre, sera :</w:t>
      </w:r>
    </w:p>
    <w:p w:rsidR="00767EE3" w:rsidRDefault="00767EE3" w:rsidP="00767E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767EE3" w:rsidRDefault="00767EE3" w:rsidP="00767E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- adressé au Procureur de la République près le Tribunal de Grande Instance du PUY-en-</w:t>
      </w:r>
    </w:p>
    <w:p w:rsidR="00767EE3" w:rsidRDefault="00767EE3" w:rsidP="00767E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VELAY, au Directeur Départemental des Affaires Sanitaires et Sociales, à l’Inspecteur</w:t>
      </w:r>
    </w:p>
    <w:p w:rsidR="00767EE3" w:rsidRDefault="00767EE3" w:rsidP="00767E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d’Académie</w:t>
      </w:r>
      <w:proofErr w:type="gramEnd"/>
      <w:r>
        <w:rPr>
          <w:rFonts w:ascii="Helvetica" w:hAnsi="Helvetica" w:cs="Helvetica"/>
          <w:sz w:val="23"/>
          <w:szCs w:val="23"/>
        </w:rPr>
        <w:t>, Chef des Services départementaux d’Education, et au Directeur Départemental</w:t>
      </w:r>
    </w:p>
    <w:p w:rsidR="00767EE3" w:rsidRDefault="00767EE3" w:rsidP="00767E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de</w:t>
      </w:r>
      <w:proofErr w:type="gramEnd"/>
      <w:r>
        <w:rPr>
          <w:rFonts w:ascii="Helvetica" w:hAnsi="Helvetica" w:cs="Helvetica"/>
          <w:sz w:val="23"/>
          <w:szCs w:val="23"/>
        </w:rPr>
        <w:t xml:space="preserve"> la Jeunesse et des Sports ;</w:t>
      </w:r>
    </w:p>
    <w:p w:rsidR="00767EE3" w:rsidRDefault="00767EE3" w:rsidP="00767E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767EE3" w:rsidRDefault="00767EE3" w:rsidP="00767E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- publié et affiché dans toutes les communes du département et inséré au Recueil des Actes</w:t>
      </w:r>
    </w:p>
    <w:p w:rsidR="00767EE3" w:rsidRDefault="00767EE3" w:rsidP="00767E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Administratifs.</w:t>
      </w:r>
    </w:p>
    <w:p w:rsidR="00767EE3" w:rsidRDefault="00767EE3" w:rsidP="00767E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767EE3" w:rsidRDefault="00767EE3" w:rsidP="00767E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767EE3" w:rsidRDefault="00767EE3" w:rsidP="00767EE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Au </w:t>
      </w:r>
      <w:proofErr w:type="spellStart"/>
      <w:r>
        <w:rPr>
          <w:rFonts w:ascii="Helvetica" w:hAnsi="Helvetica" w:cs="Helvetica"/>
          <w:sz w:val="23"/>
          <w:szCs w:val="23"/>
        </w:rPr>
        <w:t>PU</w:t>
      </w:r>
      <w:bookmarkStart w:id="0" w:name="_GoBack"/>
      <w:bookmarkEnd w:id="0"/>
      <w:r>
        <w:rPr>
          <w:rFonts w:ascii="Helvetica" w:hAnsi="Helvetica" w:cs="Helvetica"/>
          <w:sz w:val="23"/>
          <w:szCs w:val="23"/>
        </w:rPr>
        <w:t>Y-en-VELAY</w:t>
      </w:r>
      <w:proofErr w:type="spellEnd"/>
      <w:r>
        <w:rPr>
          <w:rFonts w:ascii="Helvetica" w:hAnsi="Helvetica" w:cs="Helvetica"/>
          <w:sz w:val="23"/>
          <w:szCs w:val="23"/>
        </w:rPr>
        <w:t>, le 10 juillet 1991</w:t>
      </w:r>
    </w:p>
    <w:p w:rsidR="00767EE3" w:rsidRDefault="00767EE3" w:rsidP="00767E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Pour Ampliation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Pour le Préfet</w:t>
      </w:r>
    </w:p>
    <w:p w:rsidR="00767EE3" w:rsidRDefault="00767EE3" w:rsidP="00767E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 Chef de Bureau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Le Secrétaire Général</w:t>
      </w:r>
    </w:p>
    <w:p w:rsidR="00767EE3" w:rsidRDefault="00767EE3" w:rsidP="00767EE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De la Préfecture de la Haute-Loire</w:t>
      </w:r>
    </w:p>
    <w:p w:rsidR="00771518" w:rsidRPr="00771518" w:rsidRDefault="00767EE3" w:rsidP="00767EE3">
      <w:pPr>
        <w:rPr>
          <w:rFonts w:ascii="Helvetica" w:hAnsi="Helvetica" w:cs="Helvetica"/>
        </w:rPr>
      </w:pPr>
      <w:r>
        <w:rPr>
          <w:rFonts w:ascii="Helvetica" w:hAnsi="Helvetica" w:cs="Helvetica"/>
          <w:sz w:val="23"/>
          <w:szCs w:val="23"/>
        </w:rPr>
        <w:t xml:space="preserve">Michel CHANUT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Courier-Bold" w:hAnsi="Courier-Bold" w:cs="Courier-Bold"/>
          <w:b/>
          <w:bCs/>
          <w:sz w:val="26"/>
          <w:szCs w:val="26"/>
        </w:rPr>
        <w:t>Bernard SCHMELTZ</w:t>
      </w:r>
    </w:p>
    <w:sectPr w:rsidR="00771518" w:rsidRPr="00771518" w:rsidSect="00771518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ique Olive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01"/>
    <w:rsid w:val="00582401"/>
    <w:rsid w:val="00767EE3"/>
    <w:rsid w:val="00771518"/>
    <w:rsid w:val="00EC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tique Olive" w:eastAsiaTheme="minorHAnsi" w:hAnsi="Antique Olive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tique Olive" w:eastAsiaTheme="minorHAnsi" w:hAnsi="Antique Olive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UMIH SYDICAT HOTELLIER</dc:creator>
  <cp:keywords/>
  <dc:description/>
  <cp:lastModifiedBy>UMIH SYDICAT HOTELLIER</cp:lastModifiedBy>
  <cp:revision>3</cp:revision>
  <dcterms:created xsi:type="dcterms:W3CDTF">2014-06-16T14:04:00Z</dcterms:created>
  <dcterms:modified xsi:type="dcterms:W3CDTF">2014-06-16T14:18:00Z</dcterms:modified>
</cp:coreProperties>
</file>